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924D" w14:textId="77777777" w:rsidR="003364A0" w:rsidRPr="003D44FB" w:rsidRDefault="003364A0" w:rsidP="003364A0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D44FB">
        <w:rPr>
          <w:rFonts w:ascii="Times New Roman" w:hAnsi="Times New Roman" w:cs="Times New Roman"/>
          <w:b/>
          <w:bCs/>
          <w:color w:val="000000" w:themeColor="text1"/>
        </w:rPr>
        <w:t>*Supplementary Information</w:t>
      </w:r>
    </w:p>
    <w:p w14:paraId="70684F77" w14:textId="77777777" w:rsidR="003364A0" w:rsidRPr="003D44FB" w:rsidRDefault="003364A0" w:rsidP="003364A0">
      <w:pPr>
        <w:rPr>
          <w:rFonts w:ascii="Times New Roman" w:hAnsi="Times New Roman" w:cs="Times New Roman"/>
          <w:color w:val="000000" w:themeColor="text1"/>
        </w:rPr>
      </w:pPr>
      <w:r w:rsidRPr="003D44FB">
        <w:rPr>
          <w:rFonts w:ascii="Times New Roman" w:hAnsi="Times New Roman" w:cs="Times New Roman"/>
          <w:color w:val="000000" w:themeColor="text1"/>
        </w:rPr>
        <w:t>A Mixed Methods Quality Improvement Evaluation of a Dedicated Virtual Rounding Team for Home Hospital Care</w:t>
      </w:r>
    </w:p>
    <w:p w14:paraId="6CBD6A9C" w14:textId="77777777" w:rsidR="003364A0" w:rsidRPr="003D44FB" w:rsidRDefault="003364A0" w:rsidP="003364A0">
      <w:pPr>
        <w:pStyle w:val="paragraph"/>
        <w:spacing w:before="0" w:beforeAutospacing="0" w:after="0" w:afterAutospacing="0"/>
        <w:rPr>
          <w:rStyle w:val="normaltextrun"/>
        </w:rPr>
      </w:pPr>
    </w:p>
    <w:p w14:paraId="39AFCF8B" w14:textId="77777777" w:rsidR="003364A0" w:rsidRPr="003D44FB" w:rsidRDefault="003364A0" w:rsidP="003364A0">
      <w:pPr>
        <w:pStyle w:val="paragraph"/>
        <w:spacing w:before="0" w:beforeAutospacing="0" w:after="0" w:afterAutospacing="0"/>
        <w:rPr>
          <w:rStyle w:val="normaltextrun"/>
        </w:rPr>
      </w:pPr>
      <w:r w:rsidRPr="003D44FB">
        <w:rPr>
          <w:rStyle w:val="normaltextrun"/>
        </w:rPr>
        <w:t>Saheba Shaikh, BDS MPH</w:t>
      </w:r>
      <w:r w:rsidRPr="003D44FB">
        <w:rPr>
          <w:rStyle w:val="normaltextrun"/>
          <w:vertAlign w:val="superscript"/>
        </w:rPr>
        <w:t>1</w:t>
      </w:r>
    </w:p>
    <w:p w14:paraId="28B9DE7D" w14:textId="77777777" w:rsidR="003364A0" w:rsidRPr="003D44FB" w:rsidRDefault="003364A0" w:rsidP="003364A0">
      <w:pPr>
        <w:pStyle w:val="paragraph"/>
        <w:spacing w:before="0" w:beforeAutospacing="0" w:after="0" w:afterAutospacing="0"/>
        <w:rPr>
          <w:rStyle w:val="normaltextrun"/>
          <w:vertAlign w:val="superscript"/>
        </w:rPr>
      </w:pPr>
      <w:r w:rsidRPr="003D44FB">
        <w:rPr>
          <w:rStyle w:val="normaltextrun"/>
        </w:rPr>
        <w:t>Henry Ssemaganda, MD MS</w:t>
      </w:r>
      <w:r w:rsidRPr="003D44FB">
        <w:rPr>
          <w:rStyle w:val="normaltextrun"/>
          <w:vertAlign w:val="superscript"/>
        </w:rPr>
        <w:t>1</w:t>
      </w:r>
    </w:p>
    <w:p w14:paraId="7D9936D3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3D44FB">
        <w:rPr>
          <w:rStyle w:val="normaltextrun"/>
        </w:rPr>
        <w:t>Katherine S. Killinger, CNP</w:t>
      </w:r>
      <w:r w:rsidRPr="003D44FB">
        <w:rPr>
          <w:rStyle w:val="normaltextrun"/>
          <w:vertAlign w:val="superscript"/>
        </w:rPr>
        <w:t>1</w:t>
      </w:r>
    </w:p>
    <w:p w14:paraId="79D93F8D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3D44FB">
        <w:rPr>
          <w:rStyle w:val="normaltextrun"/>
        </w:rPr>
        <w:t>Robert B. Boxer, MD PhD</w:t>
      </w:r>
      <w:r w:rsidRPr="003D44FB">
        <w:rPr>
          <w:rStyle w:val="normaltextrun"/>
          <w:vertAlign w:val="superscript"/>
        </w:rPr>
        <w:t>1,2,3</w:t>
      </w:r>
    </w:p>
    <w:p w14:paraId="1E67EAA7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3D44FB">
        <w:rPr>
          <w:rStyle w:val="normaltextrun"/>
        </w:rPr>
        <w:t>Karin A. Falkenberg, DNP, RN</w:t>
      </w:r>
      <w:r w:rsidRPr="003D44FB">
        <w:rPr>
          <w:rStyle w:val="normaltextrun"/>
          <w:vertAlign w:val="superscript"/>
        </w:rPr>
        <w:t>1</w:t>
      </w:r>
    </w:p>
    <w:p w14:paraId="13A1C7D6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3D44FB">
        <w:rPr>
          <w:rStyle w:val="normaltextrun"/>
        </w:rPr>
        <w:t>Katie Carr, MSc</w:t>
      </w:r>
      <w:r w:rsidRPr="003D44FB">
        <w:rPr>
          <w:rStyle w:val="normaltextrun"/>
          <w:vertAlign w:val="superscript"/>
        </w:rPr>
        <w:t>1</w:t>
      </w:r>
    </w:p>
    <w:p w14:paraId="407C14F0" w14:textId="77777777" w:rsidR="003364A0" w:rsidRPr="003D44FB" w:rsidRDefault="003364A0" w:rsidP="003364A0">
      <w:pPr>
        <w:pStyle w:val="paragraph"/>
        <w:spacing w:before="0" w:beforeAutospacing="0" w:after="0" w:afterAutospacing="0"/>
        <w:rPr>
          <w:rStyle w:val="normaltextrun"/>
          <w:color w:val="000000" w:themeColor="text1"/>
          <w:vertAlign w:val="superscript"/>
        </w:rPr>
      </w:pPr>
      <w:r w:rsidRPr="003D44FB">
        <w:rPr>
          <w:rStyle w:val="normaltextrun"/>
          <w:color w:val="000000" w:themeColor="text1"/>
        </w:rPr>
        <w:t>Cindy Yu, MD</w:t>
      </w:r>
      <w:r w:rsidRPr="003D44FB">
        <w:rPr>
          <w:rStyle w:val="normaltextrun"/>
          <w:color w:val="000000" w:themeColor="text1"/>
          <w:vertAlign w:val="superscript"/>
        </w:rPr>
        <w:t>1,3,4</w:t>
      </w:r>
    </w:p>
    <w:p w14:paraId="733C1DDE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  <w:highlight w:val="yellow"/>
        </w:rPr>
      </w:pPr>
      <w:r w:rsidRPr="003D44FB">
        <w:rPr>
          <w:rStyle w:val="normaltextrun"/>
          <w:color w:val="000000" w:themeColor="text1"/>
        </w:rPr>
        <w:t>Sean M. Kukauskas, MBA NRP</w:t>
      </w:r>
      <w:r w:rsidRPr="003D44FB">
        <w:rPr>
          <w:rStyle w:val="normaltextrun"/>
          <w:color w:val="000000" w:themeColor="text1"/>
          <w:vertAlign w:val="superscript"/>
        </w:rPr>
        <w:t>1</w:t>
      </w:r>
    </w:p>
    <w:p w14:paraId="6452AFF4" w14:textId="77777777" w:rsidR="003364A0" w:rsidRPr="003D44FB" w:rsidRDefault="003364A0" w:rsidP="003364A0">
      <w:pPr>
        <w:pStyle w:val="paragraph"/>
        <w:spacing w:before="0" w:beforeAutospacing="0" w:after="0" w:afterAutospacing="0"/>
        <w:rPr>
          <w:rStyle w:val="normaltextrun"/>
          <w:vertAlign w:val="superscript"/>
        </w:rPr>
      </w:pPr>
      <w:r w:rsidRPr="003D44FB">
        <w:rPr>
          <w:rStyle w:val="normaltextrun"/>
        </w:rPr>
        <w:t>Diane E. Gent, BA</w:t>
      </w:r>
      <w:r w:rsidRPr="003D44FB">
        <w:rPr>
          <w:rStyle w:val="normaltextrun"/>
          <w:vertAlign w:val="superscript"/>
        </w:rPr>
        <w:t>1</w:t>
      </w:r>
    </w:p>
    <w:p w14:paraId="53350978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3D44FB">
        <w:rPr>
          <w:rStyle w:val="normaltextrun"/>
        </w:rPr>
        <w:t>Stephen C. Dorner, MD MPH MSc</w:t>
      </w:r>
      <w:r w:rsidRPr="003D44FB">
        <w:rPr>
          <w:rStyle w:val="normaltextrun"/>
          <w:vertAlign w:val="superscript"/>
        </w:rPr>
        <w:t>1,3,4</w:t>
      </w:r>
    </w:p>
    <w:p w14:paraId="34B914AA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rStyle w:val="normaltextrun"/>
          <w:vertAlign w:val="superscript"/>
        </w:rPr>
      </w:pPr>
      <w:r w:rsidRPr="003D44FB">
        <w:rPr>
          <w:rStyle w:val="normaltextrun"/>
        </w:rPr>
        <w:t>David M. Levine, MD MPH MA</w:t>
      </w:r>
      <w:r w:rsidRPr="003D44FB">
        <w:rPr>
          <w:rStyle w:val="normaltextrun"/>
          <w:vertAlign w:val="superscript"/>
        </w:rPr>
        <w:t>1,2,3,5*</w:t>
      </w:r>
    </w:p>
    <w:p w14:paraId="3B5A8FF4" w14:textId="77777777" w:rsidR="003364A0" w:rsidRPr="003D44FB" w:rsidRDefault="003364A0" w:rsidP="003364A0">
      <w:pPr>
        <w:pStyle w:val="paragraph"/>
        <w:spacing w:before="0" w:beforeAutospacing="0" w:after="0" w:afterAutospacing="0"/>
        <w:rPr>
          <w:rStyle w:val="normaltextrun"/>
        </w:rPr>
      </w:pPr>
    </w:p>
    <w:p w14:paraId="1C516773" w14:textId="77777777" w:rsidR="003364A0" w:rsidRPr="003D44FB" w:rsidRDefault="003364A0" w:rsidP="003364A0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3D44FB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1 </w:t>
      </w:r>
      <w:r w:rsidRPr="003D44FB">
        <w:rPr>
          <w:rFonts w:ascii="Times New Roman" w:eastAsia="Times New Roman" w:hAnsi="Times New Roman" w:cs="Times New Roman"/>
          <w:color w:val="000000" w:themeColor="text1"/>
        </w:rPr>
        <w:t>Mass General Brigham Healthcare at home, Boston, MA, USA</w:t>
      </w:r>
    </w:p>
    <w:p w14:paraId="79FA5827" w14:textId="77777777" w:rsidR="003364A0" w:rsidRPr="003D44FB" w:rsidRDefault="003364A0" w:rsidP="003364A0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3D44FB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2 </w:t>
      </w:r>
      <w:r w:rsidRPr="003D44FB">
        <w:rPr>
          <w:rFonts w:ascii="Times New Roman" w:eastAsia="Times New Roman" w:hAnsi="Times New Roman" w:cs="Times New Roman"/>
          <w:color w:val="000000" w:themeColor="text1"/>
        </w:rPr>
        <w:t>Division of General Internal Medicine and Primary Care, Brigham and Women’s Hospital; Boston, MA, USA</w:t>
      </w:r>
    </w:p>
    <w:p w14:paraId="1414C4E9" w14:textId="77777777" w:rsidR="003364A0" w:rsidRPr="003D44FB" w:rsidRDefault="003364A0" w:rsidP="003364A0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3D44FB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3 </w:t>
      </w:r>
      <w:r w:rsidRPr="003D44FB">
        <w:rPr>
          <w:rFonts w:ascii="Times New Roman" w:eastAsia="Times New Roman" w:hAnsi="Times New Roman" w:cs="Times New Roman"/>
          <w:color w:val="000000" w:themeColor="text1"/>
        </w:rPr>
        <w:t>Harvard Medical School; Boston, MA, USA</w:t>
      </w:r>
    </w:p>
    <w:p w14:paraId="7BD2D21E" w14:textId="77777777" w:rsidR="003364A0" w:rsidRPr="003D44FB" w:rsidRDefault="003364A0" w:rsidP="003364A0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</w:rPr>
      </w:pPr>
      <w:r w:rsidRPr="003D44FB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4 </w:t>
      </w:r>
      <w:r w:rsidRPr="003D44FB">
        <w:rPr>
          <w:rFonts w:ascii="Times New Roman" w:eastAsia="Times New Roman" w:hAnsi="Times New Roman" w:cs="Times New Roman"/>
          <w:color w:val="000000" w:themeColor="text1"/>
        </w:rPr>
        <w:t>Division of General Internal Medicine and Primary Care, Massachusetts General Hospital; Boston, MA, USA</w:t>
      </w:r>
    </w:p>
    <w:p w14:paraId="61D3C0EF" w14:textId="77777777" w:rsidR="003364A0" w:rsidRPr="003D44FB" w:rsidRDefault="003364A0" w:rsidP="003364A0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  <w:lang w:val="es-EC"/>
        </w:rPr>
      </w:pPr>
      <w:r w:rsidRPr="003D44FB">
        <w:rPr>
          <w:rFonts w:ascii="Times New Roman" w:eastAsia="Times New Roman" w:hAnsi="Times New Roman" w:cs="Times New Roman"/>
          <w:color w:val="000000" w:themeColor="text1"/>
          <w:vertAlign w:val="superscript"/>
          <w:lang w:val="es-EC"/>
        </w:rPr>
        <w:t xml:space="preserve">5 </w:t>
      </w:r>
      <w:r w:rsidRPr="003D44FB">
        <w:rPr>
          <w:rFonts w:ascii="Times New Roman" w:eastAsia="Times New Roman" w:hAnsi="Times New Roman" w:cs="Times New Roman"/>
          <w:color w:val="000000" w:themeColor="text1"/>
          <w:lang w:val="es-EC"/>
        </w:rPr>
        <w:t>Ariadne Labs; Boston, MA, USA</w:t>
      </w:r>
    </w:p>
    <w:p w14:paraId="139D6A5E" w14:textId="77777777" w:rsidR="003364A0" w:rsidRPr="003D44FB" w:rsidRDefault="003364A0" w:rsidP="003364A0">
      <w:pPr>
        <w:pStyle w:val="NoSpacing"/>
        <w:ind w:left="360" w:hanging="360"/>
        <w:rPr>
          <w:rFonts w:ascii="Times New Roman" w:eastAsia="Times New Roman" w:hAnsi="Times New Roman" w:cs="Times New Roman"/>
          <w:color w:val="000000" w:themeColor="text1"/>
          <w:lang w:val="es-EC"/>
        </w:rPr>
      </w:pPr>
    </w:p>
    <w:p w14:paraId="19064DF3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  <w:rPr>
          <w:lang w:val="es-EC"/>
        </w:rPr>
      </w:pPr>
      <w:r w:rsidRPr="003D44FB">
        <w:rPr>
          <w:rStyle w:val="eop"/>
          <w:lang w:val="es-EC"/>
        </w:rPr>
        <w:t> </w:t>
      </w:r>
      <w:r w:rsidRPr="003D44FB">
        <w:rPr>
          <w:rStyle w:val="normaltextrun"/>
        </w:rPr>
        <w:t>*Corresponding Author: </w:t>
      </w:r>
      <w:r w:rsidRPr="003D44FB">
        <w:rPr>
          <w:rStyle w:val="eop"/>
        </w:rPr>
        <w:t> </w:t>
      </w:r>
    </w:p>
    <w:p w14:paraId="21E926CA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</w:pPr>
      <w:r w:rsidRPr="003D44FB">
        <w:rPr>
          <w:rStyle w:val="normaltextrun"/>
        </w:rPr>
        <w:t>David Michael Levine</w:t>
      </w:r>
      <w:r w:rsidRPr="003D44FB">
        <w:rPr>
          <w:rStyle w:val="eop"/>
        </w:rPr>
        <w:t> </w:t>
      </w:r>
    </w:p>
    <w:p w14:paraId="0881E01D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</w:pPr>
      <w:r w:rsidRPr="003D44FB">
        <w:rPr>
          <w:rStyle w:val="normaltextrun"/>
        </w:rPr>
        <w:t>1620 Tremont Street, 3rd floor</w:t>
      </w:r>
    </w:p>
    <w:p w14:paraId="797F6C02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</w:pPr>
      <w:r w:rsidRPr="003D44FB">
        <w:rPr>
          <w:rStyle w:val="normaltextrun"/>
        </w:rPr>
        <w:t>Boston, MA 02120</w:t>
      </w:r>
      <w:r w:rsidRPr="003D44FB">
        <w:rPr>
          <w:rStyle w:val="eop"/>
        </w:rPr>
        <w:t> </w:t>
      </w:r>
    </w:p>
    <w:p w14:paraId="285F80C3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</w:pPr>
      <w:r w:rsidRPr="003D44FB">
        <w:rPr>
          <w:rStyle w:val="normaltextrun"/>
        </w:rPr>
        <w:t>Email: dmlevine@bwh.harvard.edu</w:t>
      </w:r>
      <w:r w:rsidRPr="003D44FB">
        <w:rPr>
          <w:rStyle w:val="eop"/>
        </w:rPr>
        <w:t> </w:t>
      </w:r>
    </w:p>
    <w:p w14:paraId="72DB9260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</w:pPr>
      <w:r w:rsidRPr="003D44FB">
        <w:rPr>
          <w:rStyle w:val="normaltextrun"/>
        </w:rPr>
        <w:t>Phone, office: 617.732.7063</w:t>
      </w:r>
    </w:p>
    <w:p w14:paraId="6C8B6F66" w14:textId="77777777" w:rsidR="003364A0" w:rsidRPr="003D44FB" w:rsidRDefault="003364A0" w:rsidP="003364A0">
      <w:pPr>
        <w:pStyle w:val="paragraph"/>
        <w:spacing w:before="0" w:beforeAutospacing="0" w:after="0" w:afterAutospacing="0"/>
        <w:textAlignment w:val="baseline"/>
      </w:pPr>
      <w:r w:rsidRPr="003D44FB">
        <w:rPr>
          <w:rStyle w:val="normaltextrun"/>
        </w:rPr>
        <w:t>Fax: 617.732.7072</w:t>
      </w:r>
      <w:r w:rsidRPr="003D44FB">
        <w:rPr>
          <w:rStyle w:val="eop"/>
        </w:rPr>
        <w:t> </w:t>
      </w:r>
    </w:p>
    <w:p w14:paraId="744DB013" w14:textId="77777777" w:rsidR="00007AEC" w:rsidRPr="00376C08" w:rsidRDefault="00007AEC" w:rsidP="00007AEC">
      <w:pPr>
        <w:pStyle w:val="NoSpacing"/>
        <w:spacing w:line="300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5F68DAB" w14:textId="090DDFC1" w:rsidR="0023783F" w:rsidRPr="00376C08" w:rsidRDefault="3B3CE264" w:rsidP="00007AEC">
      <w:pPr>
        <w:pStyle w:val="NoSpacing"/>
        <w:spacing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376C08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Supplement: </w:t>
      </w:r>
      <w:proofErr w:type="spellStart"/>
      <w:r w:rsidRPr="00376C08">
        <w:rPr>
          <w:rFonts w:ascii="Times New Roman" w:eastAsia="Times New Roman" w:hAnsi="Times New Roman" w:cs="Times New Roman"/>
          <w:b/>
          <w:bCs/>
          <w:color w:val="000000" w:themeColor="text1"/>
        </w:rPr>
        <w:t>eTable</w:t>
      </w:r>
      <w:proofErr w:type="spellEnd"/>
      <w:r w:rsidRPr="00376C0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2: </w:t>
      </w:r>
      <w:r w:rsidRPr="00376C08">
        <w:rPr>
          <w:rFonts w:ascii="Times New Roman" w:eastAsia="Times New Roman" w:hAnsi="Times New Roman" w:cs="Times New Roman"/>
          <w:color w:val="000000" w:themeColor="text1"/>
        </w:rPr>
        <w:t>Bivariate outcomes</w:t>
      </w:r>
    </w:p>
    <w:tbl>
      <w:tblPr>
        <w:tblStyle w:val="PlainTable2"/>
        <w:tblW w:w="80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5"/>
        <w:gridCol w:w="1620"/>
        <w:gridCol w:w="1740"/>
        <w:gridCol w:w="1440"/>
        <w:gridCol w:w="1290"/>
      </w:tblGrid>
      <w:tr w:rsidR="2F4DA1A8" w:rsidRPr="00376C08" w14:paraId="36B51F1C" w14:textId="77777777" w:rsidTr="00302C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il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73965346" w14:textId="089136D9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</w:rPr>
              <w:t>Outcome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644C5451" w14:textId="433C78EC" w:rsidR="2F4DA1A8" w:rsidRPr="00376C08" w:rsidRDefault="2F4DA1A8" w:rsidP="2F4DA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</w:rPr>
              <w:t>Virtual rounding (n=83)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39F5DFC8" w14:textId="35A2A6E4" w:rsidR="2F4DA1A8" w:rsidRPr="00376C08" w:rsidRDefault="003364A0" w:rsidP="2F4DA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</w:rPr>
              <w:t>Usual</w:t>
            </w:r>
            <w:r w:rsidR="2F4DA1A8" w:rsidRPr="00376C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care (n= 147)</w:t>
            </w:r>
          </w:p>
        </w:tc>
        <w:tc>
          <w:tcPr>
            <w:tcW w:w="144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68E8E4E8" w14:textId="124F2FDE" w:rsidR="2F4DA1A8" w:rsidRPr="00376C08" w:rsidRDefault="2F4DA1A8" w:rsidP="2F4DA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</w:rPr>
              <w:t>Total (n=230)</w:t>
            </w:r>
          </w:p>
        </w:tc>
        <w:tc>
          <w:tcPr>
            <w:tcW w:w="129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45E1A475" w14:textId="43FD30A8" w:rsidR="2F4DA1A8" w:rsidRPr="00376C08" w:rsidRDefault="2F4DA1A8" w:rsidP="2F4DA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</w:rPr>
              <w:t>p-value</w:t>
            </w:r>
          </w:p>
        </w:tc>
      </w:tr>
      <w:tr w:rsidR="2F4DA1A8" w:rsidRPr="00376C08" w14:paraId="52504F47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552514F" w14:textId="111ED5B9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376C08">
              <w:rPr>
                <w:rFonts w:ascii="Times New Roman" w:eastAsia="Times New Roman" w:hAnsi="Times New Roman" w:cs="Times New Roman"/>
                <w:sz w:val="22"/>
                <w:szCs w:val="22"/>
              </w:rPr>
              <w:t>Adverse event composite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D81E762" w14:textId="2E56DA83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669F995" w14:textId="4CF151DB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B99EDAE" w14:textId="65949CD7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6A68C52" w14:textId="414E253A" w:rsidR="2F4DA1A8" w:rsidRPr="00376C08" w:rsidRDefault="2F4DA1A8" w:rsidP="2F4DA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F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0.0291</w:t>
            </w:r>
          </w:p>
        </w:tc>
      </w:tr>
      <w:tr w:rsidR="2F4DA1A8" w:rsidRPr="00376C08" w14:paraId="77BC1D26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62988C5" w14:textId="057F1BE1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Count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9B3146C" w14:textId="2384A73D" w:rsidR="2F4DA1A8" w:rsidRPr="00376C08" w:rsidRDefault="2F4DA1A8" w:rsidP="2F4DA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EA2D9CE" w14:textId="4F235CB3" w:rsidR="2F4DA1A8" w:rsidRPr="00376C08" w:rsidRDefault="2F4DA1A8" w:rsidP="2F4DA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2DBC216" w14:textId="2749B362" w:rsidR="2F4DA1A8" w:rsidRPr="00376C08" w:rsidRDefault="2F4DA1A8" w:rsidP="2F4DA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230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66EBD13" w14:textId="6035F208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45CB07C0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DD517AD" w14:textId="4D1A19B7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Median (IQR)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F92ED49" w14:textId="5656571F" w:rsidR="2F4DA1A8" w:rsidRPr="00376C08" w:rsidRDefault="2F4DA1A8" w:rsidP="2F4DA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CFF6993" w14:textId="299B4C14" w:rsidR="2F4DA1A8" w:rsidRPr="00376C08" w:rsidRDefault="2F4DA1A8" w:rsidP="2F4DA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7BE971D" w14:textId="0645B0B8" w:rsidR="2F4DA1A8" w:rsidRPr="00376C08" w:rsidRDefault="2F4DA1A8" w:rsidP="2F4DA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FA3C854" w14:textId="676D648C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017CC867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74883A5" w14:textId="000A275D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New C. difficile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363C52C" w14:textId="63B0039A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5A3073E" w14:textId="6ADCB40C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2DFD2F7" w14:textId="55DA27CE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DC6345E" w14:textId="1C58DEDB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2F4DA1A8" w:rsidRPr="00376C08" w14:paraId="720C676D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89E9689" w14:textId="189EF832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6E110E6" w14:textId="08A04DD4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 (100.0%)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3A20A22" w14:textId="08BB82BD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 (100.0%)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FD23E27" w14:textId="036AD187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 (100.0%)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F5921DA" w14:textId="52A6784F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3A259093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BA75C3F" w14:textId="31BF1E31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New MRSA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DC93679" w14:textId="7AA07902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AEF9A19" w14:textId="49B028CD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6D5F9CC" w14:textId="31DB43F2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3B251FF" w14:textId="26D07906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2F4DA1A8" w:rsidRPr="00376C08" w14:paraId="52AED435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22ADE16" w14:textId="527932FA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EBE8C09" w14:textId="17BD7AE5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 (100.0%)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2379E0A" w14:textId="11C4A706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 (100.0%)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974D41D" w14:textId="47D96E37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 (100.0%)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112D621" w14:textId="36FA196F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70A17630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315B532" w14:textId="3D96BDF9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Unplanned Mortality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6F0905E" w14:textId="7B232459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D81B6AB" w14:textId="4FD544E3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43DC214" w14:textId="59B57F6D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78BF6A4" w14:textId="76F26111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2F4DA1A8" w:rsidRPr="00376C08" w14:paraId="100D3B64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44A7000" w14:textId="5352E492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A0817A4" w14:textId="0B04CD83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 (100.0%)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570C849" w14:textId="3508140B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 (100.0%)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8CA7871" w14:textId="131243EF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 (100.0%)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5848206" w14:textId="47FE3B7B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4666D54E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60D008B" w14:textId="0B2A30FC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Delirium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9817809" w14:textId="5EB02B16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04CC641" w14:textId="25B8579B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6A6D4CE" w14:textId="38B844A4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1E5BEC8" w14:textId="75297227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2F4DA1A8" w:rsidRPr="00376C08" w14:paraId="2182FCF0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FF0352D" w14:textId="0BE660F0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BB317F8" w14:textId="00B0FAF3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 (100.0%)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003B613" w14:textId="228C5DE6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 (100.0%)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5138353" w14:textId="3512D1F2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 (100.0%)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73A81EA" w14:textId="0485629A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54BA2267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ED1C6E8" w14:textId="6BB40752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CAUTI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6124645" w14:textId="16D0BD68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FDDB3B0" w14:textId="32010D7B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1B3AD17" w14:textId="288F7FA0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ECC2328" w14:textId="72CC09C0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2F4DA1A8" w:rsidRPr="00376C08" w14:paraId="3B4CE19D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EFBB897" w14:textId="1BED76C5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33000D8" w14:textId="0C47F97F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 (100.0%)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F9997B2" w14:textId="00750B42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 (100.0%)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165E905" w14:textId="58A1D4AE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 (100.0%)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07D73F5" w14:textId="68EB017F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5F487661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auto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E94B66C" w14:textId="258B76F8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FEB20D5" w14:textId="485C402C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F5F594B" w14:textId="7DD52097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2C09A2C" w14:textId="051B8428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3083B60" w14:textId="5E4F702C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2F4DA1A8" w:rsidRPr="00376C08" w14:paraId="0D8836D3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41C69A9" w14:textId="4C318943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1F048F4" w14:textId="1541E6B9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 (100.0%)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669BAAF" w14:textId="74B2E138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 (100.0%)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E39F7AB" w14:textId="04D27172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 (100.0%)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52DE111" w14:textId="220DE466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5BF62A12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3CDBA85" w14:textId="3398445F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Escalation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1C99FD4" w14:textId="0A9A13C7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D394490" w14:textId="1BAB6046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0EB65F2" w14:textId="120873DF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F84AC3D" w14:textId="2788284D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9C1F0E"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  <w:r w:rsidRPr="009C1F0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2F4DA1A8" w:rsidRPr="00376C08" w14:paraId="6D43B876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3D59B2D" w14:textId="557BF0C3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C8F2BE1" w14:textId="7821279B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80 (96.4%)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3A91C5F" w14:textId="331AE0C0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129 (87.8%)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27C6ED3" w14:textId="0212AB5C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209 (90.9%)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5A4239C" w14:textId="3F7A2F67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3DB41B16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9A5DC0C" w14:textId="44D7F38B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677C4B9" w14:textId="4C071BC0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3 (3.6%)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193060E" w14:textId="6A3198B5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18 (12.2%)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29C68D2" w14:textId="4E9CC1C4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21 (9.1%)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DDE8A38" w14:textId="58C3563B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275D10F0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BD52BD6" w14:textId="1A2922EF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30-Day Readmission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7D88590" w14:textId="09890DBB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3C29CE5" w14:textId="70D32BF4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F87EFE7" w14:textId="33912242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84DBEC4" w14:textId="76B9FA11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0.062</w:t>
            </w:r>
            <w:r w:rsidRPr="00376C08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2F4DA1A8" w:rsidRPr="00376C08" w14:paraId="325D4C52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C75BBC8" w14:textId="096ED730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2C4F0B3" w14:textId="691A3814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71 (85.5%)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07239CC" w14:textId="194E23BA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137 (93.2%)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4776B6C" w14:textId="255725B8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208 (90.4%)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542F5AD" w14:textId="0C5EAB9A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0E1CA237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54547D7" w14:textId="5580908C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Yes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DA3602B" w14:textId="463CEA00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12 (14.5%)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C069796" w14:textId="76ADEF7F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10 (6.8%)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BD4DE43" w14:textId="12ABA7BD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22 (9.6%)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F2F0511" w14:textId="2898A68E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5012EBD9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DD86967" w14:textId="7E48CA4A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LOS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CA992E1" w14:textId="153106A6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84D79C7" w14:textId="449945EA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BEAC457" w14:textId="330ED01E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8C86D87" w14:textId="7AF72AFD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0.501</w:t>
            </w:r>
            <w:r w:rsidRPr="00376C08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2F4DA1A8" w:rsidRPr="00376C08" w14:paraId="644B4B74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B305F46" w14:textId="048ECE1B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Count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45E7C6C" w14:textId="02709D16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CE9173A" w14:textId="469440CD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37980F7" w14:textId="23B38F31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A6C367F" w14:textId="1DF37EED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794BA39A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4F82A75" w14:textId="76B7AFCB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Median (IQR)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6AFFC5E" w14:textId="4CA4DDA9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4 (4)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A4B9627" w14:textId="2E40143E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4 (3)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0D4A111" w14:textId="4431E302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4 (4)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D06EB79" w14:textId="1E4FA45B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48609AAB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E98599C" w14:textId="03F8C34A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Imaging Orders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D86D360" w14:textId="16E9C8E1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A50D585" w14:textId="452E9178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3DD0935" w14:textId="19A25667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55D4DE1" w14:textId="2073B727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0.838</w:t>
            </w:r>
            <w:r w:rsidRPr="00376C08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2F4DA1A8" w:rsidRPr="00376C08" w14:paraId="4173BAE1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D264C32" w14:textId="30DF627F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Count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977EE2F" w14:textId="2EF7759F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85AEBA7" w14:textId="56A85889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47C820B" w14:textId="6C31FF9A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0DC511F" w14:textId="5C153344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7FE7A0ED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9919E25" w14:textId="793B2F5A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Median (IQR)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8FFC7D8" w14:textId="3AA12399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EB495B9" w14:textId="684B7C1C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472679B" w14:textId="078423B2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824D3BE" w14:textId="7CB177F2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3CB1D804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3F66A60" w14:textId="5470FBD7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Consultations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CFEC7AC" w14:textId="2FBF16E4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48D53E2" w14:textId="093DF8A0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BC5B1BC" w14:textId="56528254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FDE16E1" w14:textId="69121A62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0.246</w:t>
            </w:r>
            <w:r w:rsidRPr="00376C08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2F4DA1A8" w:rsidRPr="00376C08" w14:paraId="60D0C847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994EEF9" w14:textId="42BF875B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Count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4F5292C" w14:textId="1F232F93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16153DC" w14:textId="344BB93A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ADFC80F" w14:textId="378B43FD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7723DC2" w14:textId="26E59D32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3B7711CE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450CB0C" w14:textId="6ABC3E60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Median (IQR)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D3903BB" w14:textId="77A059C6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AD52CFF" w14:textId="37DB9687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232C660" w14:textId="254198C7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58770A28" w14:textId="5FCCEFF0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3A235DC3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28D0568" w14:textId="181E6BE4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Lab. Orders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0BEA8504" w14:textId="035D9D95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3E8158E6" w14:textId="6672CE6A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47822C09" w14:textId="6519737A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4FCBDCB" w14:textId="48C61367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9C1F0E">
              <w:rPr>
                <w:rFonts w:ascii="Times New Roman" w:eastAsia="Times New Roman" w:hAnsi="Times New Roman" w:cs="Times New Roman"/>
                <w:sz w:val="20"/>
                <w:szCs w:val="20"/>
              </w:rPr>
              <w:t>&lt; 0.001</w:t>
            </w:r>
            <w:r w:rsidRPr="009C1F0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2F4DA1A8" w:rsidRPr="00376C08" w14:paraId="21B7EB42" w14:textId="77777777" w:rsidTr="00302C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108DD4D" w14:textId="4D3CD466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Count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632A2EDA" w14:textId="601F7D63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8D029A1" w14:textId="153CEC9D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DC83DDA" w14:textId="75B986CC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7F0458C" w14:textId="33A05A4B" w:rsidR="2F4DA1A8" w:rsidRPr="00376C08" w:rsidRDefault="2F4DA1A8" w:rsidP="2F4DA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  <w:tr w:rsidR="2F4DA1A8" w:rsidRPr="00376C08" w14:paraId="2F9EB868" w14:textId="77777777" w:rsidTr="00302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7334F3EC" w14:textId="7AE89771" w:rsidR="2F4DA1A8" w:rsidRPr="00376C08" w:rsidRDefault="2F4DA1A8" w:rsidP="2F4DA1A8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Median (IQR)</w:t>
            </w:r>
          </w:p>
        </w:tc>
        <w:tc>
          <w:tcPr>
            <w:tcW w:w="162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ED8141E" w14:textId="64B5F076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0 (2.5)</w:t>
            </w:r>
          </w:p>
        </w:tc>
        <w:tc>
          <w:tcPr>
            <w:tcW w:w="17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F610247" w14:textId="047D6A6D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 (6)</w:t>
            </w:r>
          </w:p>
        </w:tc>
        <w:tc>
          <w:tcPr>
            <w:tcW w:w="144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27EF07BF" w14:textId="2B6AE86E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C08">
              <w:rPr>
                <w:rFonts w:ascii="Times New Roman" w:eastAsia="Times New Roman" w:hAnsi="Times New Roman" w:cs="Times New Roman"/>
                <w:sz w:val="20"/>
                <w:szCs w:val="20"/>
              </w:rPr>
              <w:t>2 (4)</w:t>
            </w:r>
          </w:p>
        </w:tc>
        <w:tc>
          <w:tcPr>
            <w:tcW w:w="1290" w:type="dxa"/>
            <w:tcBorders>
              <w:top w:val="single" w:sz="6" w:space="0" w:color="7F7F7F" w:themeColor="text1" w:themeTint="80"/>
              <w:left w:val="single" w:sz="12" w:space="0" w:color="auto"/>
              <w:bottom w:val="single" w:sz="6" w:space="0" w:color="7F7F7F" w:themeColor="text1" w:themeTint="80"/>
              <w:right w:val="single" w:sz="12" w:space="0" w:color="auto"/>
            </w:tcBorders>
            <w:tcMar>
              <w:left w:w="105" w:type="dxa"/>
              <w:right w:w="105" w:type="dxa"/>
            </w:tcMar>
          </w:tcPr>
          <w:p w14:paraId="19CB0BB1" w14:textId="728000A3" w:rsidR="2F4DA1A8" w:rsidRPr="00376C08" w:rsidRDefault="2F4DA1A8" w:rsidP="2F4DA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</w:rPr>
            </w:pPr>
          </w:p>
        </w:tc>
      </w:tr>
    </w:tbl>
    <w:p w14:paraId="694281D1" w14:textId="77F0F297" w:rsidR="0023783F" w:rsidRPr="00376C08" w:rsidRDefault="3B3CE264" w:rsidP="03A2C10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76C0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IQR=Interquartile Range; SD= Standard Deviation; 1. Linear Model ANOVA (the default test for continuous variables. When the LHS variable has two levels, equivalent to a two-sample t-test); 2. Pearson’s Chi-squared test with simulated p-value; 3. Chi-squared test for given probabilities with simulated p-value (based on 2000 replicates).</w:t>
      </w:r>
    </w:p>
    <w:p w14:paraId="2C078E63" w14:textId="2AED4330" w:rsidR="0023783F" w:rsidRPr="00376C08" w:rsidRDefault="3B3CE264" w:rsidP="00007AEC">
      <w:pPr>
        <w:pStyle w:val="NoSpacing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76C0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(Delirium - Hospital-acquired delirium is defined as one positive confusion assessment method (CAM) within 24 hours of negative prior CAMs (Confusion Assessment Method), onset &gt;=24 hours after admission. New C. diff- Hospital-acquired C. diff is defined as a positive stool lab test more than three days after admission, not present on admission.  New MRSA - Hospital-acquired MRSA is defined as a positive lab test more than 3 days after admission with no positive MRSA lab test in the previous 12 months. Positive lab tests denoted as “previous MRSA</w:t>
      </w:r>
      <w:proofErr w:type="gramStart"/>
      <w:r w:rsidRPr="00376C0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”</w:t>
      </w:r>
      <w:proofErr w:type="gramEnd"/>
      <w:r w:rsidRPr="00376C0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or “known MRSA” were excluded as well. Escalation - A home hospital admission is flagged as escalated when the admitted patient is transferred back to the B&amp;M hospital setting for at least 1 midnight. Unplanned mortality - A home hospital encounter is flagged when the encounter discharge disposition includes "expired". Fall- Falls are documented in the flowsheet Fall on EPIC, every time a fall occurrence is encountered. CAUTI (Catheter-Associated Urinary Tract Infection) - Urinary catheter use or placement and subsequent positive urine culture. Urinary catheter must be in place for more than two consecutive days).</w:t>
      </w:r>
    </w:p>
    <w:sectPr w:rsidR="0023783F" w:rsidRPr="00376C08" w:rsidSect="00007AEC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18D9E1"/>
    <w:rsid w:val="00007AEC"/>
    <w:rsid w:val="0023783F"/>
    <w:rsid w:val="00302C44"/>
    <w:rsid w:val="003364A0"/>
    <w:rsid w:val="00376C08"/>
    <w:rsid w:val="003D44FB"/>
    <w:rsid w:val="009C1F0E"/>
    <w:rsid w:val="00A73406"/>
    <w:rsid w:val="00CC3459"/>
    <w:rsid w:val="02E2F56E"/>
    <w:rsid w:val="03A2C109"/>
    <w:rsid w:val="0B741630"/>
    <w:rsid w:val="27EEFBDC"/>
    <w:rsid w:val="2E18D9E1"/>
    <w:rsid w:val="2F4DA1A8"/>
    <w:rsid w:val="3B3CE264"/>
    <w:rsid w:val="4E24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8D9E1"/>
  <w15:chartTrackingRefBased/>
  <w15:docId w15:val="{4F7E267B-5B01-45EA-870C-C4A3CE43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2F4DA1A8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rmaltextrun">
    <w:name w:val="normaltextrun"/>
    <w:basedOn w:val="DefaultParagraphFont"/>
    <w:rsid w:val="003364A0"/>
  </w:style>
  <w:style w:type="paragraph" w:customStyle="1" w:styleId="paragraph">
    <w:name w:val="paragraph"/>
    <w:basedOn w:val="Normal"/>
    <w:rsid w:val="00336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eop">
    <w:name w:val="eop"/>
    <w:basedOn w:val="DefaultParagraphFont"/>
    <w:rsid w:val="003364A0"/>
  </w:style>
  <w:style w:type="character" w:styleId="LineNumber">
    <w:name w:val="line number"/>
    <w:basedOn w:val="DefaultParagraphFont"/>
    <w:uiPriority w:val="99"/>
    <w:semiHidden/>
    <w:unhideWhenUsed/>
    <w:rsid w:val="00007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5C6200BCCF4EA82211F795AF5948" ma:contentTypeVersion="12" ma:contentTypeDescription="Create a new document." ma:contentTypeScope="" ma:versionID="0eb3f964b7813b168a163d01d62320f5">
  <xsd:schema xmlns:xsd="http://www.w3.org/2001/XMLSchema" xmlns:xs="http://www.w3.org/2001/XMLSchema" xmlns:p="http://schemas.microsoft.com/office/2006/metadata/properties" xmlns:ns2="42080f59-f717-4dd9-8d1d-1a5fb4e55729" xmlns:ns3="696552e1-7cfb-4603-9727-5b2caaf14e27" targetNamespace="http://schemas.microsoft.com/office/2006/metadata/properties" ma:root="true" ma:fieldsID="73e9dc47005a6f0a6d04044055eaca4b" ns2:_="" ns3:_="">
    <xsd:import namespace="42080f59-f717-4dd9-8d1d-1a5fb4e55729"/>
    <xsd:import namespace="696552e1-7cfb-4603-9727-5b2caaf14e2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80f59-f717-4dd9-8d1d-1a5fb4e5572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60c9a04-0a06-4c47-89e2-9dbcedd85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52e1-7cfb-4603-9727-5b2caaf14e2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1b28e3d-b52b-44bb-bec7-61628dfa04eb}" ma:internalName="TaxCatchAll" ma:showField="CatchAllData" ma:web="696552e1-7cfb-4603-9727-5b2caaf14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6552e1-7cfb-4603-9727-5b2caaf14e27" xsi:nil="true"/>
    <lcf76f155ced4ddcb4097134ff3c332f xmlns="42080f59-f717-4dd9-8d1d-1a5fb4e557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691230-E161-4AEC-9AB8-9046723A2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80f59-f717-4dd9-8d1d-1a5fb4e55729"/>
    <ds:schemaRef ds:uri="696552e1-7cfb-4603-9727-5b2caaf14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E2B3B6-D79F-49A0-8F2E-60E7C69017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1D830-7651-444E-B354-97967F9F0D65}">
  <ds:schemaRefs>
    <ds:schemaRef ds:uri="http://schemas.microsoft.com/office/2006/metadata/properties"/>
    <ds:schemaRef ds:uri="http://schemas.microsoft.com/office/infopath/2007/PartnerControls"/>
    <ds:schemaRef ds:uri="696552e1-7cfb-4603-9727-5b2caaf14e27"/>
    <ds:schemaRef ds:uri="42080f59-f717-4dd9-8d1d-1a5fb4e557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Susan Phillips</cp:lastModifiedBy>
  <cp:revision>2</cp:revision>
  <dcterms:created xsi:type="dcterms:W3CDTF">2026-06-12T18:03:00Z</dcterms:created>
  <dcterms:modified xsi:type="dcterms:W3CDTF">2026-06-12T18:03:00Z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0x010100139C5C6200BCCF4EA82211F795AF5948</vt:lpwstr>
  </property>
  <property fmtid="{D5CDD505-2E9C-101B-9397-08002B2CF9AE}" pid="3" name="MediaServiceImageTags">
    <vt:lpwstr/>
  </property>
  <property fmtid="{D5CDD505-2E9C-101B-9397-08002B2CF9AE}" pid="4" name="GrammarlyDocumentId">
    <vt:lpwstr>5ac4fb0d-5dec-497b-8a29-6cb4c3b2b99f</vt:lpwstr>
  </property>
</Properties>
</file>